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jc w:val="center"/>
        <w:rPr>
          <w:rFonts w:cs="Arial"/>
          <w:b/>
          <w:b/>
          <w:bCs/>
          <w:color w:val="000000" w:themeColor="text1"/>
          <w:szCs w:val="20"/>
        </w:rPr>
      </w:pPr>
      <w:r>
        <w:rPr>
          <w:rFonts w:cs="Arial"/>
          <w:b/>
          <w:bCs/>
          <w:color w:val="000000" w:themeColor="text1"/>
          <w:szCs w:val="20"/>
        </w:rPr>
        <w:t xml:space="preserve">AVISO DE DISPENSA ELETRÔNICA Nº </w:t>
      </w:r>
      <w:r>
        <w:rPr>
          <w:rFonts w:cs="Arial"/>
          <w:b/>
          <w:bCs/>
          <w:color w:val="000000" w:themeColor="text1"/>
          <w:szCs w:val="20"/>
        </w:rPr>
        <w:t>23</w:t>
      </w:r>
      <w:r>
        <w:rPr>
          <w:rFonts w:cs="Arial"/>
          <w:b/>
          <w:bCs/>
          <w:color w:val="000000" w:themeColor="text1"/>
          <w:szCs w:val="20"/>
        </w:rPr>
        <w:t>/2026</w:t>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(Processo Administrativ</w:t>
      </w:r>
      <w:r>
        <w:rPr>
          <w:rFonts w:cs="Arial"/>
          <w:b/>
          <w:bCs/>
          <w:color w:val="auto"/>
          <w:szCs w:val="20"/>
        </w:rPr>
        <w:t xml:space="preserve">o n.° </w:t>
      </w:r>
      <w:r>
        <w:rPr>
          <w:rFonts w:cs="Arial"/>
          <w:b/>
          <w:bCs/>
          <w:i w:val="false"/>
          <w:caps w:val="false"/>
          <w:smallCaps w:val="false"/>
          <w:color w:val="auto"/>
          <w:spacing w:val="0"/>
          <w:sz w:val="21"/>
          <w:szCs w:val="20"/>
        </w:rPr>
        <w:t>23544.002003/2025-01</w:t>
      </w:r>
      <w:r>
        <w:rPr>
          <w:rFonts w:cs="Arial"/>
          <w:b/>
          <w:bCs/>
          <w:color w:val="auto"/>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o(a) Instituto Federal do Espírito Santo, por meio do(a)  Coordenadoria de Licitações e Compras, realizará Dispensa Eletrônica, </w:t>
      </w:r>
      <w:r>
        <w:rPr>
          <w:rFonts w:cs="Arial"/>
          <w:bCs/>
          <w:color w:val="000000" w:themeColor="text1"/>
          <w:szCs w:val="20"/>
        </w:rPr>
        <w:t>com critério de julgamento menor preço</w:t>
      </w:r>
      <w:r>
        <w:rPr>
          <w:rFonts w:cs="Arial"/>
          <w:b/>
          <w:bCs/>
          <w:i/>
          <w:color w:val="auto"/>
          <w:szCs w:val="20"/>
        </w:rPr>
        <w:t>,</w:t>
      </w:r>
      <w:r>
        <w:rPr>
          <w:rFonts w:cs="Arial"/>
          <w:b/>
          <w:bCs/>
          <w:i/>
          <w:color w:val="FF0000"/>
          <w:szCs w:val="20"/>
        </w:rPr>
        <w:t xml:space="preserve"> </w:t>
      </w:r>
      <w:r>
        <w:rPr>
          <w:rFonts w:cs="Arial"/>
          <w:color w:val="000000" w:themeColor="text1"/>
          <w:szCs w:val="20"/>
        </w:rPr>
        <w:t>na hipóte</w:t>
      </w:r>
      <w:r>
        <w:rPr>
          <w:rFonts w:cs="Arial"/>
          <w:i w:val="false"/>
          <w:iCs w:val="false"/>
          <w:color w:val="auto"/>
          <w:szCs w:val="20"/>
        </w:rPr>
        <w:t xml:space="preserve">se do art. 75, inciso </w:t>
      </w:r>
      <w:r>
        <w:rPr>
          <w:rFonts w:cs="Arial"/>
          <w:b/>
          <w:i w:val="false"/>
          <w:iCs w:val="false"/>
          <w:color w:val="auto"/>
          <w:szCs w:val="20"/>
        </w:rPr>
        <w:t>II</w:t>
      </w:r>
      <w:r>
        <w:rPr>
          <w:rFonts w:cs="Arial"/>
          <w:i w:val="false"/>
          <w:iCs w:val="false"/>
          <w:color w:val="auto"/>
          <w:szCs w:val="20"/>
        </w:rPr>
        <w:t xml:space="preserve">, </w:t>
      </w:r>
      <w:r>
        <w:rPr>
          <w:rFonts w:cs="Arial"/>
          <w:bCs/>
          <w:i w:val="false"/>
          <w:iCs w:val="false"/>
          <w:color w:val="auto"/>
          <w:szCs w:val="20"/>
        </w:rPr>
        <w:t>nos term</w:t>
      </w:r>
      <w:r>
        <w:rPr>
          <w:rFonts w:cs="Arial"/>
          <w:bCs/>
          <w:szCs w:val="20"/>
        </w:rPr>
        <w:t>os da Lei nº 14.133, de 1º de abril de 2021, da Instrução Normativa SEGES/ME nº 67/2021 e demais legislação aplicável</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shd w:fill="auto" w:val="clear"/>
        </w:rPr>
      </w:pPr>
      <w:r>
        <w:rPr>
          <w:rFonts w:cs="Arial"/>
          <w:color w:val="000000" w:themeColor="text1"/>
          <w:szCs w:val="20"/>
          <w:shd w:fill="auto" w:val="clear"/>
        </w:rPr>
        <w:t xml:space="preserve">Data do início do recebimento de propostas: </w:t>
      </w:r>
      <w:r>
        <w:rPr>
          <w:rFonts w:cs="Arial"/>
          <w:color w:val="000000" w:themeColor="text1"/>
          <w:szCs w:val="20"/>
          <w:shd w:fill="auto" w:val="clear"/>
        </w:rPr>
        <w:t>17</w:t>
      </w:r>
      <w:r>
        <w:rPr>
          <w:rFonts w:cs="Arial"/>
          <w:color w:val="000000" w:themeColor="text1"/>
          <w:szCs w:val="20"/>
          <w:shd w:fill="auto" w:val="clear"/>
        </w:rPr>
        <w:t>/07/2026</w:t>
      </w:r>
    </w:p>
    <w:p>
      <w:pPr>
        <w:pStyle w:val="Normal"/>
        <w:rPr>
          <w:shd w:fill="auto" w:val="clear"/>
        </w:rPr>
      </w:pPr>
      <w:r>
        <w:rPr>
          <w:rFonts w:cs="Arial"/>
          <w:color w:val="000000" w:themeColor="text1"/>
          <w:szCs w:val="20"/>
          <w:shd w:fill="auto" w:val="clear"/>
        </w:rPr>
        <w:t xml:space="preserve">Link: </w:t>
      </w:r>
      <w:r>
        <w:rPr>
          <w:rFonts w:cs="Arial"/>
          <w:i w:val="false"/>
          <w:iCs w:val="false"/>
          <w:color w:val="000000"/>
          <w:szCs w:val="20"/>
          <w:shd w:fill="auto" w:val="clear"/>
        </w:rPr>
        <w:t xml:space="preserve"> </w:t>
      </w:r>
      <w:r>
        <w:rPr>
          <w:rFonts w:cs="Arial" w:ascii="ArialMT" w:hAnsi="ArialMT"/>
          <w:i w:val="false"/>
          <w:iCs w:val="false"/>
          <w:color w:val="000000" w:themeColor="text1"/>
          <w:sz w:val="20"/>
          <w:szCs w:val="20"/>
          <w:shd w:fill="auto" w:val="clear"/>
        </w:rPr>
        <w:t>https://www.gov.br/compras/pt-br</w:t>
      </w:r>
    </w:p>
    <w:p>
      <w:pPr>
        <w:pStyle w:val="Normal"/>
        <w:rPr>
          <w:shd w:fill="auto" w:val="clear"/>
        </w:rPr>
      </w:pPr>
      <w:r>
        <w:rPr>
          <w:shd w:fill="auto" w:val="clear"/>
        </w:rPr>
        <w:t xml:space="preserve">Horário da Fase de Lances: 12:00 do dia </w:t>
      </w:r>
      <w:r>
        <w:rPr>
          <w:shd w:fill="auto" w:val="clear"/>
        </w:rPr>
        <w:t>22</w:t>
      </w:r>
      <w:r>
        <w:rPr>
          <w:shd w:fill="auto" w:val="clear"/>
        </w:rPr>
        <w:t xml:space="preserve">/07 às 18:00 do dia </w:t>
      </w:r>
      <w:r>
        <w:rPr>
          <w:shd w:fill="auto" w:val="clear"/>
        </w:rPr>
        <w:t>22</w:t>
      </w:r>
      <w:r>
        <w:rPr>
          <w:shd w:fill="auto" w:val="clear"/>
        </w:rPr>
        <w:t>/07</w:t>
      </w:r>
    </w:p>
    <w:p>
      <w:pPr>
        <w:pStyle w:val="PADRO"/>
        <w:keepNext w:val="false"/>
        <w:widowControl/>
        <w:shd w:val="clear" w:color="auto" w:fill="auto"/>
        <w:spacing w:before="120" w:after="120"/>
        <w:ind w:left="360"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bookmarkStart w:id="0" w:name="_GoBack"/>
      <w:bookmarkEnd w:id="0"/>
    </w:p>
    <w:p>
      <w:pPr>
        <w:pStyle w:val="PADRO"/>
        <w:widowControl/>
        <w:numPr>
          <w:ilvl w:val="1"/>
          <w:numId w:val="1"/>
        </w:numPr>
        <w:shd w:val="clear" w:color="auto" w:fill="auto"/>
        <w:spacing w:before="120" w:after="120"/>
        <w:rPr>
          <w:rFonts w:ascii="Arial" w:hAnsi="Arial" w:cs="Arial"/>
          <w:szCs w:val="20"/>
        </w:rPr>
      </w:pPr>
      <w:r>
        <w:rPr>
          <w:rFonts w:cs="Arial" w:ascii="Arial" w:hAnsi="Arial"/>
          <w:color w:val="000000" w:themeColor="text1"/>
          <w:szCs w:val="20"/>
        </w:rPr>
        <w:t>O objeto da presente di</w:t>
      </w:r>
      <w:r>
        <w:rPr>
          <w:rFonts w:eastAsia="WenQuanYi Micro Hei" w:cs="Arial" w:ascii="Arial" w:hAnsi="Arial"/>
          <w:color w:val="000000" w:themeColor="text1"/>
          <w:kern w:val="0"/>
          <w:sz w:val="20"/>
          <w:szCs w:val="20"/>
          <w:lang w:val="pt-BR" w:eastAsia="zh-CN" w:bidi="hi-IN"/>
        </w:rPr>
        <w:t>spensa é a aquisição Access Point para prover melhorias na infraestrutura do Ifes Campus Centro-Serrano, nos termos da tabela abaixo, conforme as condições e exigências detalhadas neste Aviso de Contratação Direta e seus anexos.</w:t>
      </w:r>
    </w:p>
    <w:p>
      <w:pPr>
        <w:pStyle w:val="PADRO"/>
        <w:keepNext w:val="false"/>
        <w:widowControl/>
        <w:numPr>
          <w:ilvl w:val="1"/>
          <w:numId w:val="1"/>
        </w:numPr>
        <w:shd w:val="clear" w:color="auto" w:fill="auto"/>
        <w:spacing w:before="120" w:after="120"/>
        <w:rPr>
          <w:rFonts w:ascii="Arial" w:hAnsi="Arial"/>
          <w:i w:val="false"/>
          <w:i w:val="false"/>
          <w:iCs w:val="false"/>
          <w:color w:val="auto"/>
        </w:rPr>
      </w:pPr>
      <w:r>
        <w:rPr>
          <w:rFonts w:eastAsia="WenQuanYi Micro Hei" w:cs="Arial" w:ascii="Arial" w:hAnsi="Arial"/>
          <w:i w:val="false"/>
          <w:iCs w:val="false"/>
          <w:color w:val="000000" w:themeColor="text1"/>
          <w:kern w:val="0"/>
          <w:sz w:val="20"/>
          <w:szCs w:val="20"/>
          <w:lang w:val="pt-BR" w:eastAsia="zh-CN" w:bidi="hi-IN"/>
        </w:rPr>
        <w:t>A contratação se dará por item único</w:t>
      </w:r>
      <w:r>
        <w:rPr>
          <w:rFonts w:eastAsia="WenQuanYi Micro Hei" w:cs="Arial" w:ascii="Arial" w:hAnsi="Arial"/>
          <w:b/>
          <w:bCs/>
          <w:i w:val="false"/>
          <w:iCs w:val="false"/>
          <w:color w:val="000000" w:themeColor="text1"/>
          <w:kern w:val="0"/>
          <w:sz w:val="20"/>
          <w:szCs w:val="20"/>
          <w:lang w:val="pt-BR" w:eastAsia="zh-CN" w:bidi="hi-IN"/>
        </w:rPr>
        <w:t>,</w:t>
      </w:r>
      <w:r>
        <w:rPr>
          <w:rFonts w:eastAsia="WenQuanYi Micro Hei" w:cs="Arial" w:ascii="Arial" w:hAnsi="Arial"/>
          <w:i w:val="false"/>
          <w:iCs w:val="false"/>
          <w:color w:val="000000" w:themeColor="text1"/>
          <w:kern w:val="0"/>
          <w:sz w:val="20"/>
          <w:szCs w:val="20"/>
          <w:lang w:val="pt-BR" w:eastAsia="zh-CN" w:bidi="hi-IN"/>
        </w:rPr>
        <w:t xml:space="preserve"> conforme tabela con</w:t>
      </w:r>
      <w:r>
        <w:rPr>
          <w:rFonts w:cs="Arial" w:ascii="Arial" w:hAnsi="Arial"/>
          <w:i w:val="false"/>
          <w:iCs w:val="false"/>
          <w:color w:val="auto"/>
          <w:szCs w:val="20"/>
        </w:rPr>
        <w:t>stante abaixo.</w:t>
      </w:r>
    </w:p>
    <w:tbl>
      <w:tblPr>
        <w:tblW w:w="9975" w:type="dxa"/>
        <w:jc w:val="left"/>
        <w:tblInd w:w="-449" w:type="dxa"/>
        <w:tblLayout w:type="fixed"/>
        <w:tblCellMar>
          <w:top w:w="0" w:type="dxa"/>
          <w:left w:w="108" w:type="dxa"/>
          <w:bottom w:w="0" w:type="dxa"/>
          <w:right w:w="108" w:type="dxa"/>
        </w:tblCellMar>
        <w:tblLook w:firstRow="1" w:noVBand="1" w:lastRow="0" w:firstColumn="1" w:lastColumn="0" w:noHBand="0" w:val="04a0"/>
      </w:tblPr>
      <w:tblGrid>
        <w:gridCol w:w="849"/>
        <w:gridCol w:w="4426"/>
        <w:gridCol w:w="1076"/>
        <w:gridCol w:w="912"/>
        <w:gridCol w:w="1350"/>
        <w:gridCol w:w="1361"/>
      </w:tblGrid>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ITEM</w:t>
            </w:r>
          </w:p>
        </w:tc>
        <w:tc>
          <w:tcPr>
            <w:tcW w:w="4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rFonts w:cs="Arial"/>
                <w:b/>
                <w:bCs/>
                <w:color w:val="000000"/>
                <w:sz w:val="18"/>
                <w:szCs w:val="18"/>
              </w:rPr>
              <w:t>DESCRIÇÃO / ESPECIFICAÇÃO</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UNIDADE DE MEDIDA</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QUANT.</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VALOR UNITÁRIO ESTIMADO</w:t>
            </w:r>
          </w:p>
        </w:tc>
        <w:tc>
          <w:tcPr>
            <w:tcW w:w="13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VALOR ESTIMADO TOTAL</w:t>
            </w:r>
          </w:p>
        </w:tc>
      </w:tr>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rFonts w:cs="Arial"/>
                <w:b w:val="false"/>
                <w:bCs w:val="false"/>
                <w:color w:val="000000"/>
                <w:sz w:val="18"/>
                <w:szCs w:val="18"/>
              </w:rPr>
              <w:t>1</w:t>
            </w:r>
          </w:p>
        </w:tc>
        <w:tc>
          <w:tcPr>
            <w:tcW w:w="4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b/>
                <w:sz w:val="18"/>
                <w:szCs w:val="18"/>
              </w:rPr>
              <w:t>Access Point</w:t>
            </w:r>
          </w:p>
          <w:p>
            <w:pPr>
              <w:pStyle w:val="Normal"/>
              <w:widowControl w:val="false"/>
              <w:jc w:val="center"/>
              <w:rPr>
                <w:b/>
                <w:b/>
              </w:rPr>
            </w:pPr>
            <w:r>
              <w:rPr>
                <w:b/>
              </w:rPr>
            </w:r>
          </w:p>
          <w:p>
            <w:pPr>
              <w:pStyle w:val="Normal"/>
              <w:widowControl w:val="false"/>
              <w:jc w:val="center"/>
              <w:rPr>
                <w:rFonts w:ascii="Arial" w:hAnsi="Arial"/>
                <w:sz w:val="18"/>
                <w:szCs w:val="18"/>
              </w:rPr>
            </w:pPr>
            <w:r>
              <w:rPr>
                <w:sz w:val="18"/>
                <w:szCs w:val="18"/>
              </w:rPr>
              <w:t>Suporte WiFi 7; 8 Fluxos espaciais; Portal de Hotspot Cativo; Suporte a 2.4GHz, 5GHz e 6 GHz;</w:t>
            </w:r>
          </w:p>
          <w:p>
            <w:pPr>
              <w:pStyle w:val="Normal"/>
              <w:widowControl w:val="false"/>
              <w:jc w:val="center"/>
              <w:rPr>
                <w:rFonts w:ascii="Arial" w:hAnsi="Arial"/>
                <w:sz w:val="18"/>
                <w:szCs w:val="18"/>
              </w:rPr>
            </w:pPr>
            <w:r>
              <w:rPr>
                <w:sz w:val="18"/>
                <w:szCs w:val="18"/>
              </w:rPr>
              <w:t>Suportar ao menos 500 dispositivos conectados;</w:t>
            </w:r>
          </w:p>
          <w:p>
            <w:pPr>
              <w:pStyle w:val="Normal"/>
              <w:widowControl w:val="false"/>
              <w:jc w:val="center"/>
              <w:rPr>
                <w:rFonts w:ascii="Arial" w:hAnsi="Arial"/>
                <w:sz w:val="18"/>
                <w:szCs w:val="18"/>
              </w:rPr>
            </w:pPr>
            <w:r>
              <w:rPr>
                <w:sz w:val="18"/>
                <w:szCs w:val="18"/>
              </w:rPr>
              <w:t>2.4GHz MIMO 2 x 2; 5GHz MIMO 4 x 4;</w:t>
            </w:r>
          </w:p>
          <w:p>
            <w:pPr>
              <w:pStyle w:val="Normal"/>
              <w:widowControl w:val="false"/>
              <w:jc w:val="center"/>
              <w:rPr>
                <w:rFonts w:ascii="Arial" w:hAnsi="Arial"/>
                <w:sz w:val="18"/>
                <w:szCs w:val="18"/>
              </w:rPr>
            </w:pPr>
            <w:r>
              <w:rPr>
                <w:sz w:val="18"/>
                <w:szCs w:val="18"/>
              </w:rPr>
              <w:t>6GHz MIMO 2 x 2; Suportar ao menos os protocolos de segurança WPA3, WPA2, WPAEnterprise;</w:t>
            </w:r>
          </w:p>
          <w:p>
            <w:pPr>
              <w:pStyle w:val="Normal"/>
              <w:widowControl w:val="false"/>
              <w:jc w:val="center"/>
              <w:rPr>
                <w:rFonts w:ascii="Arial" w:hAnsi="Arial"/>
                <w:sz w:val="18"/>
                <w:szCs w:val="18"/>
              </w:rPr>
            </w:pPr>
            <w:r>
              <w:rPr>
                <w:sz w:val="18"/>
                <w:szCs w:val="18"/>
              </w:rPr>
              <w:t>Suportar ao menos os padrões 802.11n/ac/ax/be;</w:t>
            </w:r>
          </w:p>
          <w:p>
            <w:pPr>
              <w:pStyle w:val="Normal"/>
              <w:widowControl w:val="false"/>
              <w:jc w:val="center"/>
              <w:rPr>
                <w:rFonts w:ascii="Arial" w:hAnsi="Arial"/>
                <w:sz w:val="18"/>
                <w:szCs w:val="18"/>
              </w:rPr>
            </w:pPr>
            <w:r>
              <w:rPr>
                <w:sz w:val="18"/>
                <w:szCs w:val="18"/>
              </w:rPr>
              <w:t>Suporte a VLAN; Alimentação PoE ou PoE+;</w:t>
            </w:r>
          </w:p>
          <w:p>
            <w:pPr>
              <w:pStyle w:val="Normal"/>
              <w:widowControl w:val="false"/>
              <w:jc w:val="center"/>
              <w:rPr>
                <w:rFonts w:ascii="Arial" w:hAnsi="Arial"/>
                <w:sz w:val="18"/>
                <w:szCs w:val="18"/>
              </w:rPr>
            </w:pPr>
            <w:r>
              <w:rPr>
                <w:sz w:val="18"/>
                <w:szCs w:val="18"/>
              </w:rPr>
              <w:t>Interface de rede Ethernet 1G ou superior;</w:t>
            </w:r>
          </w:p>
          <w:p>
            <w:pPr>
              <w:pStyle w:val="Normal"/>
              <w:widowControl w:val="false"/>
              <w:jc w:val="center"/>
              <w:rPr>
                <w:rFonts w:ascii="Arial" w:hAnsi="Arial"/>
                <w:sz w:val="18"/>
                <w:szCs w:val="18"/>
              </w:rPr>
            </w:pPr>
            <w:r>
              <w:rPr>
                <w:sz w:val="18"/>
                <w:szCs w:val="18"/>
              </w:rPr>
              <w:t>Equipamento Indoor com suporte para fixação em teto ou parede; Botão de reset; Compatível com aplicação de gerenciamento UniFi Network;</w:t>
            </w:r>
          </w:p>
          <w:p>
            <w:pPr>
              <w:pStyle w:val="Normal"/>
              <w:widowControl w:val="false"/>
              <w:jc w:val="center"/>
              <w:rPr>
                <w:rFonts w:ascii="Arial" w:hAnsi="Arial"/>
                <w:sz w:val="18"/>
                <w:szCs w:val="18"/>
              </w:rPr>
            </w:pPr>
            <w:r>
              <w:rPr>
                <w:sz w:val="18"/>
                <w:szCs w:val="18"/>
              </w:rPr>
              <w:t>Injetor Poe+ Incluso Modelo de referência: Unifi U7 ProMax ou similar</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sz w:val="18"/>
                <w:szCs w:val="18"/>
              </w:rPr>
              <w:t>Unidade</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20</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R$  3.021,94</w:t>
            </w:r>
          </w:p>
        </w:tc>
        <w:tc>
          <w:tcPr>
            <w:tcW w:w="13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R$  60.438,80</w:t>
            </w:r>
          </w:p>
        </w:tc>
      </w:tr>
      <w:tr>
        <w:trPr/>
        <w:tc>
          <w:tcPr>
            <w:tcW w:w="8613" w:type="dxa"/>
            <w:gridSpan w:val="5"/>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sz w:val="18"/>
                <w:szCs w:val="18"/>
              </w:rPr>
            </w:r>
          </w:p>
          <w:p>
            <w:pPr>
              <w:pStyle w:val="Normal"/>
              <w:widowControl w:val="false"/>
              <w:suppressAutoHyphens w:val="true"/>
              <w:spacing w:lineRule="auto" w:line="276" w:before="0" w:after="120"/>
              <w:jc w:val="center"/>
              <w:rPr>
                <w:rFonts w:ascii="Arial" w:hAnsi="Arial"/>
                <w:sz w:val="18"/>
                <w:szCs w:val="18"/>
              </w:rPr>
            </w:pPr>
            <w:r>
              <w:rPr>
                <w:rFonts w:cs="Arial"/>
                <w:b/>
                <w:bCs/>
                <w:color w:val="000000"/>
                <w:sz w:val="18"/>
                <w:szCs w:val="18"/>
              </w:rPr>
              <w:t>VALOR ESTIMADO TOTAL</w:t>
            </w:r>
          </w:p>
        </w:tc>
        <w:tc>
          <w:tcPr>
            <w:tcW w:w="1361"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b/>
                <w:b/>
                <w:bCs/>
                <w:sz w:val="18"/>
                <w:szCs w:val="18"/>
              </w:rPr>
            </w:pPr>
            <w:r>
              <w:rPr>
                <w:b/>
                <w:bCs/>
                <w:sz w:val="18"/>
                <w:szCs w:val="18"/>
              </w:rPr>
            </w:r>
          </w:p>
          <w:p>
            <w:pPr>
              <w:pStyle w:val="Normal"/>
              <w:widowControl w:val="false"/>
              <w:suppressAutoHyphens w:val="true"/>
              <w:spacing w:lineRule="auto" w:line="276" w:before="0" w:after="120"/>
              <w:jc w:val="center"/>
              <w:rPr>
                <w:rFonts w:ascii="Arial" w:hAnsi="Arial"/>
                <w:sz w:val="18"/>
                <w:szCs w:val="18"/>
              </w:rPr>
            </w:pPr>
            <w:r>
              <w:rPr>
                <w:rFonts w:cs="Arial"/>
                <w:b/>
                <w:bCs/>
                <w:color w:val="000000"/>
                <w:sz w:val="18"/>
                <w:szCs w:val="18"/>
              </w:rPr>
              <w:t>R$  60.438,80</w:t>
            </w:r>
          </w:p>
        </w:tc>
      </w:tr>
    </w:tbl>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 xml:space="preserve"> </w:t>
      </w:r>
      <w:r>
        <w:rPr>
          <w:rFonts w:cs="Arial" w:ascii="Arial" w:hAnsi="Arial"/>
          <w:szCs w:val="20"/>
        </w:rPr>
        <w:t>Havendo mais de item ou lote faculta-se ao fornecedor a participação em quantos forem de seu interesse. Entretanto, optando-se por participar de um lote, deve o fornecedo</w:t>
      </w:r>
      <w:r>
        <w:rPr>
          <w:rFonts w:cs="Arial" w:ascii="Arial" w:hAnsi="Arial"/>
          <w:i w:val="false"/>
          <w:iCs w:val="false"/>
          <w:color w:val="auto"/>
          <w:szCs w:val="20"/>
        </w:rPr>
        <w:t>r enviar proposta para todos os itens que o compõem.</w:t>
      </w:r>
    </w:p>
    <w:p>
      <w:pPr>
        <w:pStyle w:val="PADRO"/>
        <w:keepNext w:val="false"/>
        <w:widowControl/>
        <w:numPr>
          <w:ilvl w:val="1"/>
          <w:numId w:val="1"/>
        </w:numPr>
        <w:shd w:val="clear" w:color="auto" w:fill="auto"/>
        <w:spacing w:before="120" w:after="120"/>
        <w:rPr>
          <w:i w:val="false"/>
          <w:i w:val="false"/>
          <w:iCs w:val="false"/>
          <w:color w:val="auto"/>
        </w:rPr>
      </w:pPr>
      <w:r>
        <w:rPr>
          <w:rFonts w:cs="Arial" w:ascii="Arial" w:hAnsi="Arial"/>
          <w:i w:val="false"/>
          <w:iCs w:val="false"/>
          <w:color w:val="auto"/>
          <w:szCs w:val="20"/>
        </w:rPr>
        <w:t>O critério de julgamento adotado será o menor preço, observadas as exigências contidas neste Aviso de Contratação Direta e seus Anexos quanto às especificações do objeto.</w:t>
      </w:r>
    </w:p>
    <w:p>
      <w:pPr>
        <w:pStyle w:val="PADRO"/>
        <w:widowControl/>
        <w:numPr>
          <w:ilvl w:val="0"/>
          <w:numId w:val="0"/>
        </w:numPr>
        <w:shd w:val="clear" w:color="auto" w:fill="auto"/>
        <w:spacing w:before="120" w:after="120"/>
        <w:ind w:left="792" w:hanging="0"/>
        <w:rPr>
          <w:rFonts w:ascii="Arial" w:hAnsi="Arial" w:cs="Arial"/>
          <w:szCs w:val="20"/>
        </w:rPr>
      </w:pPr>
      <w:r>
        <w:rPr>
          <w:rFonts w:cs="Arial" w:ascii="Arial" w:hAnsi="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ascii="ArialMT" w:hAnsi="ArialMT"/>
          <w:bCs/>
          <w:i w:val="false"/>
          <w:iCs w:val="false"/>
          <w:color w:val="000000" w:themeColor="text1"/>
          <w:sz w:val="20"/>
          <w:szCs w:val="20"/>
        </w:rPr>
        <w:t>https://www.gov.br/compras/pt-br.</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2">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sociedades cooperativas.</w:t>
      </w:r>
    </w:p>
    <w:p>
      <w:pPr>
        <w:pStyle w:val="Normal"/>
        <w:numPr>
          <w:ilvl w:val="0"/>
          <w:numId w:val="0"/>
        </w:numPr>
        <w:spacing w:lineRule="auto" w:line="276" w:before="120" w:after="120"/>
        <w:ind w:left="1224" w:hanging="0"/>
        <w:jc w:val="both"/>
        <w:rPr>
          <w:rFonts w:cs="Arial"/>
          <w:szCs w:val="20"/>
        </w:rPr>
      </w:pPr>
      <w:r>
        <w:rPr>
          <w:rFonts w:cs="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A apresentação das propostas implica obrigatoriedade do cumprimento das disposições nelas contidas, em conformidade com o que dis</w:t>
      </w:r>
      <w:r>
        <w:rPr>
          <w:rFonts w:cs="Arial"/>
          <w:i w:val="false"/>
          <w:iCs w:val="false"/>
          <w:color w:val="auto"/>
          <w:szCs w:val="20"/>
        </w:rPr>
        <w:t>põe o Termo de Referência,</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1224" w:hanging="0"/>
        <w:jc w:val="both"/>
        <w:rPr>
          <w:rFonts w:cs="Arial"/>
          <w:color w:val="000000" w:themeColor="text1"/>
          <w:szCs w:val="20"/>
        </w:rPr>
      </w:pPr>
      <w:r>
        <w:rPr>
          <w:rFonts w:cs="Arial"/>
          <w:color w:val="000000" w:themeColor="text1"/>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12:00h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 xml:space="preserve"> </w:t>
      </w:r>
      <w:r>
        <w:rPr>
          <w:rFonts w:cs="Arial"/>
          <w:szCs w:val="20"/>
        </w:rPr>
        <w:t>o intervalo mínimo de diferença de valores ou percentuais entre os lances, que incidirá tanto em relação aos lances intermediários quanto em relação ao que cobrir a melhor oferta é de R$ 1,00 (um real</w:t>
      </w:r>
      <w:r>
        <w:rPr>
          <w:rFonts w:cs="Arial"/>
          <w:i w:val="false"/>
          <w:iCs w:val="false"/>
          <w:color w:val="auto"/>
          <w:szCs w:val="20"/>
        </w:rPr>
        <w:t>).</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 xml:space="preserve"> </w:t>
      </w: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ListParagraph"/>
        <w:numPr>
          <w:ilvl w:val="0"/>
          <w:numId w:val="0"/>
        </w:numPr>
        <w:spacing w:lineRule="auto" w:line="276" w:before="120" w:after="120"/>
        <w:ind w:left="1224" w:hanging="0"/>
        <w:contextualSpacing/>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 xml:space="preserve"> </w:t>
      </w: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 xml:space="preserve"> </w:t>
      </w: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 xml:space="preserve"> </w:t>
      </w: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considera-se erro no preenchimento da planilha passível de correção a indicação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w:t>
      </w:r>
    </w:p>
    <w:p>
      <w:pPr>
        <w:pStyle w:val="ListParagraph"/>
        <w:numPr>
          <w:ilvl w:val="0"/>
          <w:numId w:val="0"/>
        </w:numPr>
        <w:spacing w:lineRule="auto" w:line="276" w:before="120" w:after="120"/>
        <w:ind w:left="792" w:hanging="0"/>
        <w:contextualSpacing/>
        <w:jc w:val="both"/>
        <w:rPr>
          <w:rFonts w:cs="Arial"/>
          <w:color w:val="000000" w:themeColor="text1"/>
          <w:szCs w:val="20"/>
          <w:lang w:eastAsia="en-US"/>
        </w:rPr>
      </w:pPr>
      <w:r>
        <w:rPr>
          <w:rFonts w:cs="Arial"/>
          <w:color w:val="000000" w:themeColor="text1"/>
          <w:szCs w:val="20"/>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a) SICAF;</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b) Cadastro Nacional de Empresas Inidôneas e Suspensas - CEIS, mantido pela Controladoria-Geral da União (</w:t>
      </w:r>
      <w:hyperlink r:id="rId3">
        <w:r>
          <w:rPr>
            <w:rStyle w:val="LinkdaInternet"/>
            <w:rFonts w:eastAsia="Calibri" w:cs="Arial"/>
            <w:lang w:eastAsia="ar-SA"/>
          </w:rPr>
          <w:t>www.portaldatransparencia.gov.br/ceis</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c) Cadastro Nacional de Condenações Cíveis por Atos de Improbidade Administrativa, mantido pelo Conselho Nacional de Justiça (</w:t>
      </w:r>
      <w:hyperlink r:id="rId4">
        <w:r>
          <w:rPr>
            <w:rStyle w:val="LinkdaInternet"/>
            <w:rFonts w:eastAsia="Calibri" w:cs="Arial"/>
            <w:lang w:eastAsia="ar-SA"/>
          </w:rPr>
          <w:t>www.cnj.jus.br/improbidade_adm/consultar_requerido.php</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 </w:t>
      </w: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r>
        <w:rPr>
          <w:rFonts w:cs="Arial"/>
          <w:szCs w:val="24"/>
          <w:lang w:eastAsia="ar-SA"/>
        </w:rPr>
        <w:t>.</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 </w:t>
      </w: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ListParagraph"/>
        <w:numPr>
          <w:ilvl w:val="0"/>
          <w:numId w:val="0"/>
        </w:numPr>
        <w:spacing w:lineRule="auto" w:line="276" w:before="120" w:after="120"/>
        <w:ind w:left="792" w:hanging="0"/>
        <w:contextualSpacing/>
        <w:jc w:val="both"/>
        <w:rPr>
          <w:rFonts w:cs="Arial"/>
          <w:iCs/>
          <w:lang w:eastAsia="en-US"/>
        </w:rPr>
      </w:pPr>
      <w:r>
        <w:rPr>
          <w:rFonts w:cs="Arial"/>
          <w:iCs/>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adjudicatário terá o prazo de 05 (</w:t>
      </w:r>
      <w:r>
        <w:rPr>
          <w:rFonts w:eastAsia="Arial" w:cs="Arial"/>
          <w:color w:val="auto"/>
          <w:szCs w:val="20"/>
        </w:rPr>
        <w:t>cinco) dias úteis, contados a partir da data de sua convocação, para assinar o Termo de Contrato ou aceitar instrumento equivalente, conforme o caso (Nota de Empenho/Carta Contrato/Autorização), sob p</w:t>
      </w:r>
      <w:r>
        <w:rPr>
          <w:rFonts w:eastAsia="Arial" w:cs="Arial"/>
          <w:color w:val="000000"/>
          <w:szCs w:val="20"/>
        </w:rPr>
        <w:t xml:space="preserve">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 </w:t>
      </w: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 xml:space="preserve">por igual período, </w:t>
      </w:r>
      <w:r>
        <w:rPr>
          <w:rFonts w:eastAsia="Arial" w:cs="Arial"/>
          <w:i w:val="false"/>
          <w:iCs w:val="false"/>
          <w:color w:val="000000"/>
          <w:szCs w:val="20"/>
        </w:rPr>
        <w:t>por solicitação justificada do adjudicatário e aceita pela Administração.</w:t>
      </w:r>
    </w:p>
    <w:p>
      <w:pPr>
        <w:pStyle w:val="Normal"/>
        <w:numPr>
          <w:ilvl w:val="1"/>
          <w:numId w:val="1"/>
        </w:numPr>
        <w:spacing w:lineRule="auto" w:line="276" w:before="120" w:after="120"/>
        <w:ind w:left="425" w:hanging="0"/>
        <w:jc w:val="both"/>
        <w:rPr>
          <w:i w:val="false"/>
          <w:i w:val="false"/>
          <w:iCs w:val="false"/>
        </w:rPr>
      </w:pPr>
      <w:r>
        <w:rPr>
          <w:rFonts w:eastAsia="Arial" w:cs="Arial"/>
          <w:i w:val="false"/>
          <w:iCs w:val="false"/>
          <w:color w:val="auto"/>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de 01 (um) ano</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0"/>
        </w:numPr>
        <w:spacing w:lineRule="auto" w:line="276" w:before="120" w:after="120"/>
        <w:ind w:left="425" w:hanging="0"/>
        <w:jc w:val="both"/>
        <w:rPr>
          <w:rFonts w:eastAsia="Arial" w:cs="Arial"/>
          <w:color w:val="000000"/>
          <w:szCs w:val="20"/>
        </w:rPr>
      </w:pPr>
      <w:r>
        <w:rPr>
          <w:rFonts w:eastAsia="Arial" w:cs="Arial"/>
          <w:color w:val="000000"/>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praticar ato lesivo previsto no </w:t>
      </w:r>
      <w:r>
        <w:fldChar w:fldCharType="begin"/>
      </w:r>
      <w:r>
        <w:rPr>
          <w:color w:val="000000"/>
        </w:rPr>
        <w:instrText xml:space="preserve"> HYPERLINK "http://www.planalto.gov.br/ccivil_03/_Ato2011-2014/2013/Lei/L12846.htm" \l "art5"</w:instrText>
      </w:r>
      <w:r>
        <w:rPr>
          <w:color w:val="000000"/>
        </w:rPr>
        <w:fldChar w:fldCharType="separate"/>
      </w:r>
      <w:r>
        <w:rPr>
          <w:color w:val="000000"/>
        </w:rPr>
        <w:t>art. 5º da Lei nº 12.846, de 1º de agosto de 2013.</w:t>
      </w:r>
      <w:r>
        <w:rPr>
          <w:color w:val="000000"/>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6"/>
        </w:numPr>
        <w:spacing w:lineRule="auto" w:line="276" w:before="120" w:after="120"/>
        <w:jc w:val="both"/>
        <w:rPr>
          <w:rFonts w:cs="Arial"/>
        </w:rPr>
      </w:pPr>
      <w:r>
        <w:rPr>
          <w:rFonts w:cs="Arial"/>
        </w:rPr>
        <w:t xml:space="preserve">Multa de 10% </w:t>
      </w:r>
      <w:r>
        <w:rPr>
          <w:rFonts w:cs="Arial"/>
          <w:color w:val="auto"/>
        </w:rPr>
        <w:t xml:space="preserve">(dez por cento) </w:t>
      </w:r>
      <w:r>
        <w:rPr>
          <w:rFonts w:cs="Arial"/>
        </w:rPr>
        <w:t>sobre o valor estimado do(s) item(s) prejudicado(s) pela conduta do fornecedor, por qualquer das infrações dos subitens 8.1.1 a 8.1.12;</w:t>
      </w:r>
    </w:p>
    <w:p>
      <w:pPr>
        <w:pStyle w:val="Normal"/>
        <w:numPr>
          <w:ilvl w:val="2"/>
          <w:numId w:val="6"/>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6"/>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 xml:space="preserve"> </w:t>
      </w: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 xml:space="preserve"> </w:t>
      </w: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 xml:space="preserve"> </w:t>
      </w: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 xml:space="preserve"> </w:t>
      </w: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 xml:space="preserve"> </w:t>
      </w: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6"/>
      <w:bookmarkStart w:id="2" w:name="art156§7"/>
      <w:bookmarkStart w:id="3" w:name="art156§8"/>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Modelo de Proposta;</w:t>
      </w:r>
    </w:p>
    <w:p>
      <w:pPr>
        <w:pStyle w:val="Normal"/>
        <w:numPr>
          <w:ilvl w:val="2"/>
          <w:numId w:val="1"/>
        </w:numPr>
        <w:spacing w:lineRule="auto" w:line="276" w:before="120" w:after="120"/>
        <w:jc w:val="both"/>
        <w:rPr>
          <w:rFonts w:cs="Arial"/>
          <w:color w:val="000000"/>
          <w:szCs w:val="20"/>
        </w:rPr>
      </w:pPr>
      <w:r>
        <w:rPr>
          <w:rFonts w:cs="Arial"/>
          <w:color w:val="000000"/>
          <w:szCs w:val="20"/>
        </w:rPr>
        <w:t>ANEXO III – Termo de Referência;</w:t>
      </w:r>
    </w:p>
    <w:p>
      <w:pPr>
        <w:pStyle w:val="Normal"/>
        <w:numPr>
          <w:ilvl w:val="0"/>
          <w:numId w:val="0"/>
        </w:numPr>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right"/>
        <w:rPr>
          <w:rFonts w:cs="Arial"/>
          <w:color w:val="000000"/>
          <w:szCs w:val="20"/>
        </w:rPr>
      </w:pPr>
      <w:r>
        <w:rPr>
          <w:rFonts w:cs="Arial"/>
          <w:color w:val="000000"/>
          <w:szCs w:val="20"/>
        </w:rPr>
        <w:t xml:space="preserve">Santa Maria de Jetibá/ES, </w:t>
      </w:r>
      <w:r>
        <w:rPr>
          <w:rFonts w:cs="Arial"/>
          <w:color w:val="000000"/>
          <w:szCs w:val="20"/>
        </w:rPr>
        <w:t>17</w:t>
      </w:r>
      <w:r>
        <w:rPr>
          <w:rFonts w:cs="Arial"/>
          <w:color w:val="000000"/>
          <w:szCs w:val="20"/>
        </w:rPr>
        <w:t xml:space="preserve"> de julho de 2026.</w:t>
      </w:r>
    </w:p>
    <w:p>
      <w:pPr>
        <w:pStyle w:val="Normal"/>
        <w:spacing w:lineRule="auto" w:line="276"/>
        <w:jc w:val="center"/>
        <w:rPr>
          <w:rFonts w:cs="Arial"/>
          <w:szCs w:val="20"/>
        </w:rPr>
      </w:pPr>
      <w:r>
        <w:rPr>
          <w:rFonts w:cs="Arial"/>
          <w:b/>
          <w:bCs/>
          <w:iCs/>
          <w:color w:val="000000"/>
          <w:szCs w:val="20"/>
        </w:rPr>
        <w:t>Assinatura da autoridade competente</w:t>
      </w:r>
    </w:p>
    <w:p>
      <w:pPr>
        <w:pStyle w:val="Normal"/>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val="false"/>
        <w:widowControl/>
        <w:numPr>
          <w:ilvl w:val="0"/>
          <w:numId w:val="4"/>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70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inscrição no cadastro de contribuintes</w:t>
      </w:r>
      <w:r>
        <w:rPr>
          <w:rFonts w:cs="Arial"/>
          <w:i w:val="false"/>
          <w:iCs w:val="false"/>
          <w:color w:val="auto"/>
          <w:szCs w:val="20"/>
        </w:rPr>
        <w:t xml:space="preserve"> estadual e/ou municipal,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prova de regularidade com a Fazenda</w:t>
      </w:r>
      <w:r>
        <w:rPr>
          <w:rFonts w:cs="Arial"/>
          <w:i w:val="false"/>
          <w:iCs w:val="false"/>
          <w:color w:val="auto"/>
          <w:szCs w:val="20"/>
        </w:rPr>
        <w:t xml:space="preserve"> Estadual e/ou Municipal d</w:t>
      </w:r>
      <w:r>
        <w:rPr>
          <w:rFonts w:cs="Arial"/>
          <w:szCs w:val="20"/>
        </w:rPr>
        <w:t xml:space="preserve">o domicílio ou sede do fornecedor, relativa à atividade em cujo exercício contrata ou concorre;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caso o fornecedor seja considerado isento dos tributo</w:t>
      </w:r>
      <w:r>
        <w:rPr>
          <w:rFonts w:cs="Arial"/>
          <w:i w:val="false"/>
          <w:iCs w:val="false"/>
          <w:color w:val="auto"/>
          <w:szCs w:val="20"/>
        </w:rPr>
        <w:t>s estaduais</w:t>
      </w:r>
      <w:r>
        <w:rPr>
          <w:rFonts w:cs="Arial"/>
          <w:b w:val="false"/>
          <w:bCs w:val="false"/>
          <w:i w:val="false"/>
          <w:iCs w:val="false"/>
          <w:color w:val="auto"/>
          <w:szCs w:val="20"/>
          <w:u w:val="none"/>
        </w:rPr>
        <w:t xml:space="preserve"> ou </w:t>
      </w:r>
      <w:r>
        <w:rPr>
          <w:rFonts w:cs="Arial"/>
          <w:i w:val="false"/>
          <w:iCs w:val="false"/>
          <w:color w:val="auto"/>
          <w:szCs w:val="20"/>
        </w:rPr>
        <w:t>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PADRO"/>
        <w:keepNext w:val="false"/>
        <w:widowControl/>
        <w:numPr>
          <w:ilvl w:val="0"/>
          <w:numId w:val="4"/>
        </w:numPr>
        <w:shd w:val="clear" w:fill="FFFFFF"/>
        <w:spacing w:before="120" w:after="120"/>
        <w:rPr>
          <w:rFonts w:ascii="Arial" w:hAnsi="Arial"/>
          <w:b/>
          <w:b/>
          <w:bCs/>
        </w:rPr>
      </w:pPr>
      <w:r>
        <w:rPr>
          <w:rFonts w:ascii="Arial" w:hAnsi="Arial"/>
          <w:b/>
          <w:bCs/>
          <w:color w:val="000000"/>
        </w:rPr>
        <w:t xml:space="preserve"> </w:t>
      </w:r>
      <w:r>
        <w:rPr>
          <w:rFonts w:ascii="Arial" w:hAnsi="Arial"/>
          <w:b/>
          <w:bCs/>
          <w:color w:val="000000"/>
        </w:rPr>
        <w:t>Além das exigências descritas acima, o fornecedor deverá apresentar os documentos listados no item 9 do Termo de Referência.</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widowControl/>
        <w:shd w:val="clear" w:fill="FFFFFF"/>
        <w:spacing w:before="120" w:after="120"/>
        <w:ind w:hanging="0"/>
        <w:jc w:val="center"/>
        <w:rPr/>
      </w:pPr>
      <w:r>
        <w:rPr>
          <w:rFonts w:ascii="Arial-BoldMT" w:hAnsi="Arial-BoldMT"/>
          <w:b/>
          <w:sz w:val="20"/>
        </w:rPr>
        <w:t>ANEXO II – MODELO DE PROPOSTA</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Razão Social: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CNPJ:</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Endereço:</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CEP:</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Tel: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E-mail:</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Fonts w:ascii="Arial" w:hAnsi="Arial"/>
          <w:sz w:val="20"/>
          <w:szCs w:val="20"/>
        </w:rPr>
      </w:pPr>
      <w:r>
        <w:rPr>
          <w:b/>
          <w:sz w:val="20"/>
          <w:szCs w:val="20"/>
        </w:rPr>
        <w:t>Ao Instituto Federal do Espírito Santo – Campus Centro-Serrano,</w:t>
      </w:r>
    </w:p>
    <w:p>
      <w:pPr>
        <w:pStyle w:val="Normal"/>
        <w:jc w:val="left"/>
        <w:rPr>
          <w:rFonts w:ascii="Arial" w:hAnsi="Arial"/>
        </w:rPr>
      </w:pPr>
      <w:r>
        <w:rPr>
          <w:b/>
          <w:sz w:val="20"/>
        </w:rPr>
        <w:t xml:space="preserve">                                                                                       </w:t>
      </w:r>
    </w:p>
    <w:p>
      <w:pPr>
        <w:pStyle w:val="Normal"/>
        <w:jc w:val="center"/>
        <w:rPr>
          <w:rFonts w:ascii="Arial" w:hAnsi="Arial"/>
        </w:rPr>
      </w:pPr>
      <w:r>
        <w:rPr>
          <w:b/>
          <w:sz w:val="24"/>
        </w:rPr>
        <w:t>Proposta de Preços</w:t>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tbl>
      <w:tblPr>
        <w:tblW w:w="9975" w:type="dxa"/>
        <w:jc w:val="left"/>
        <w:tblInd w:w="-449" w:type="dxa"/>
        <w:tblLayout w:type="fixed"/>
        <w:tblCellMar>
          <w:top w:w="0" w:type="dxa"/>
          <w:left w:w="108" w:type="dxa"/>
          <w:bottom w:w="0" w:type="dxa"/>
          <w:right w:w="108" w:type="dxa"/>
        </w:tblCellMar>
        <w:tblLook w:firstRow="1" w:noVBand="1" w:lastRow="0" w:firstColumn="1" w:lastColumn="0" w:noHBand="0" w:val="04a0"/>
      </w:tblPr>
      <w:tblGrid>
        <w:gridCol w:w="849"/>
        <w:gridCol w:w="4425"/>
        <w:gridCol w:w="1076"/>
        <w:gridCol w:w="912"/>
        <w:gridCol w:w="1351"/>
        <w:gridCol w:w="1361"/>
      </w:tblGrid>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ITEM</w:t>
            </w:r>
          </w:p>
        </w:tc>
        <w:tc>
          <w:tcPr>
            <w:tcW w:w="4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rFonts w:cs="Arial"/>
                <w:b/>
                <w:bCs/>
                <w:color w:val="000000"/>
                <w:sz w:val="18"/>
                <w:szCs w:val="18"/>
              </w:rPr>
              <w:t>DESCRIÇÃO / ESPECIFICAÇÃO</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UNIDADE DE MEDIDA</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QUANT.</w:t>
            </w:r>
          </w:p>
        </w:tc>
        <w:tc>
          <w:tcPr>
            <w:tcW w:w="13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VALOR UNITÁRIO ESTIMADO</w:t>
            </w:r>
          </w:p>
        </w:tc>
        <w:tc>
          <w:tcPr>
            <w:tcW w:w="13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8"/>
                <w:szCs w:val="18"/>
              </w:rPr>
            </w:pPr>
            <w:r>
              <w:rPr>
                <w:rFonts w:cs="Arial"/>
                <w:b/>
                <w:bCs/>
                <w:color w:val="000000"/>
                <w:sz w:val="18"/>
                <w:szCs w:val="18"/>
              </w:rPr>
              <w:t>VALOR ESTIMADO TOTAL</w:t>
            </w:r>
          </w:p>
        </w:tc>
      </w:tr>
      <w:tr>
        <w:trPr/>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rFonts w:cs="Arial"/>
                <w:b w:val="false"/>
                <w:bCs w:val="false"/>
                <w:color w:val="000000"/>
                <w:sz w:val="18"/>
                <w:szCs w:val="18"/>
              </w:rPr>
              <w:t>1</w:t>
            </w:r>
          </w:p>
        </w:tc>
        <w:tc>
          <w:tcPr>
            <w:tcW w:w="44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8"/>
                <w:szCs w:val="18"/>
              </w:rPr>
            </w:pPr>
            <w:r>
              <w:rPr>
                <w:b/>
                <w:sz w:val="18"/>
                <w:szCs w:val="18"/>
              </w:rPr>
              <w:t>Access Point</w:t>
            </w:r>
          </w:p>
          <w:p>
            <w:pPr>
              <w:pStyle w:val="Normal"/>
              <w:widowControl w:val="false"/>
              <w:jc w:val="center"/>
              <w:rPr>
                <w:b/>
                <w:b/>
              </w:rPr>
            </w:pPr>
            <w:r>
              <w:rPr>
                <w:b/>
              </w:rPr>
            </w:r>
          </w:p>
          <w:p>
            <w:pPr>
              <w:pStyle w:val="Normal"/>
              <w:widowControl w:val="false"/>
              <w:jc w:val="center"/>
              <w:rPr>
                <w:rFonts w:ascii="Arial" w:hAnsi="Arial"/>
                <w:sz w:val="18"/>
                <w:szCs w:val="18"/>
              </w:rPr>
            </w:pPr>
            <w:r>
              <w:rPr>
                <w:sz w:val="18"/>
                <w:szCs w:val="18"/>
              </w:rPr>
              <w:t>Suporte WiFi 7; 8 Fluxos espaciais; Portal de Hotspot Cativo; Suporte a 2.4GHz, 5GHz e 6 GHz;</w:t>
            </w:r>
          </w:p>
          <w:p>
            <w:pPr>
              <w:pStyle w:val="Normal"/>
              <w:widowControl w:val="false"/>
              <w:jc w:val="center"/>
              <w:rPr>
                <w:rFonts w:ascii="Arial" w:hAnsi="Arial"/>
                <w:sz w:val="18"/>
                <w:szCs w:val="18"/>
              </w:rPr>
            </w:pPr>
            <w:r>
              <w:rPr>
                <w:sz w:val="18"/>
                <w:szCs w:val="18"/>
              </w:rPr>
              <w:t>Suportar ao menos 500 dispositivos conectados;</w:t>
            </w:r>
          </w:p>
          <w:p>
            <w:pPr>
              <w:pStyle w:val="Normal"/>
              <w:widowControl w:val="false"/>
              <w:jc w:val="center"/>
              <w:rPr>
                <w:rFonts w:ascii="Arial" w:hAnsi="Arial"/>
                <w:sz w:val="18"/>
                <w:szCs w:val="18"/>
              </w:rPr>
            </w:pPr>
            <w:r>
              <w:rPr>
                <w:sz w:val="18"/>
                <w:szCs w:val="18"/>
              </w:rPr>
              <w:t>2.4GHz MIMO 2 x 2; 5GHz MIMO 4 x 4;</w:t>
            </w:r>
          </w:p>
          <w:p>
            <w:pPr>
              <w:pStyle w:val="Normal"/>
              <w:widowControl w:val="false"/>
              <w:jc w:val="center"/>
              <w:rPr>
                <w:rFonts w:ascii="Arial" w:hAnsi="Arial"/>
                <w:sz w:val="18"/>
                <w:szCs w:val="18"/>
              </w:rPr>
            </w:pPr>
            <w:r>
              <w:rPr>
                <w:sz w:val="18"/>
                <w:szCs w:val="18"/>
              </w:rPr>
              <w:t>6GHz MIMO 2 x 2; Suportar ao menos os protocolos de segurança WPA3, WPA2, WPAEnterprise;</w:t>
            </w:r>
          </w:p>
          <w:p>
            <w:pPr>
              <w:pStyle w:val="Normal"/>
              <w:widowControl w:val="false"/>
              <w:jc w:val="center"/>
              <w:rPr>
                <w:rFonts w:ascii="Arial" w:hAnsi="Arial"/>
                <w:sz w:val="18"/>
                <w:szCs w:val="18"/>
              </w:rPr>
            </w:pPr>
            <w:r>
              <w:rPr>
                <w:sz w:val="18"/>
                <w:szCs w:val="18"/>
              </w:rPr>
              <w:t>Suportar ao menos os padrões 802.11n/ac/ax/be;</w:t>
            </w:r>
          </w:p>
          <w:p>
            <w:pPr>
              <w:pStyle w:val="Normal"/>
              <w:widowControl w:val="false"/>
              <w:jc w:val="center"/>
              <w:rPr>
                <w:rFonts w:ascii="Arial" w:hAnsi="Arial"/>
                <w:sz w:val="18"/>
                <w:szCs w:val="18"/>
              </w:rPr>
            </w:pPr>
            <w:r>
              <w:rPr>
                <w:sz w:val="18"/>
                <w:szCs w:val="18"/>
              </w:rPr>
              <w:t>Suporte a VLAN; Alimentação PoE ou PoE+;</w:t>
            </w:r>
          </w:p>
          <w:p>
            <w:pPr>
              <w:pStyle w:val="Normal"/>
              <w:widowControl w:val="false"/>
              <w:jc w:val="center"/>
              <w:rPr>
                <w:rFonts w:ascii="Arial" w:hAnsi="Arial"/>
                <w:sz w:val="18"/>
                <w:szCs w:val="18"/>
              </w:rPr>
            </w:pPr>
            <w:r>
              <w:rPr>
                <w:sz w:val="18"/>
                <w:szCs w:val="18"/>
              </w:rPr>
              <w:t>Interface de rede Ethernet 1G ou superior;</w:t>
            </w:r>
          </w:p>
          <w:p>
            <w:pPr>
              <w:pStyle w:val="Normal"/>
              <w:widowControl w:val="false"/>
              <w:jc w:val="center"/>
              <w:rPr>
                <w:rFonts w:ascii="Arial" w:hAnsi="Arial"/>
                <w:sz w:val="18"/>
                <w:szCs w:val="18"/>
              </w:rPr>
            </w:pPr>
            <w:r>
              <w:rPr>
                <w:sz w:val="18"/>
                <w:szCs w:val="18"/>
              </w:rPr>
              <w:t>Equipamento Indoor com suporte para fixação em teto ou parede; Botão de reset; Compatível com aplicação de gerenciamento UniFi Network;</w:t>
            </w:r>
          </w:p>
          <w:p>
            <w:pPr>
              <w:pStyle w:val="Normal"/>
              <w:widowControl w:val="false"/>
              <w:jc w:val="center"/>
              <w:rPr>
                <w:rFonts w:ascii="Arial" w:hAnsi="Arial"/>
                <w:sz w:val="18"/>
                <w:szCs w:val="18"/>
              </w:rPr>
            </w:pPr>
            <w:r>
              <w:rPr>
                <w:sz w:val="18"/>
                <w:szCs w:val="18"/>
              </w:rPr>
              <w:t>Injetor Poe+ Incluso Modelo de referência: Unifi U7 ProMax ou similar</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sz w:val="18"/>
                <w:szCs w:val="18"/>
              </w:rPr>
              <w:t>Unidade</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20</w:t>
            </w:r>
          </w:p>
        </w:tc>
        <w:tc>
          <w:tcPr>
            <w:tcW w:w="13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R$  ________</w:t>
            </w:r>
          </w:p>
        </w:tc>
        <w:tc>
          <w:tcPr>
            <w:tcW w:w="13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rFonts w:cs="Arial"/>
                <w:b w:val="false"/>
                <w:bCs w:val="false"/>
                <w:color w:val="000000"/>
                <w:sz w:val="18"/>
                <w:szCs w:val="18"/>
              </w:rPr>
              <w:t>R$  ________</w:t>
            </w:r>
          </w:p>
        </w:tc>
      </w:tr>
      <w:tr>
        <w:trPr/>
        <w:tc>
          <w:tcPr>
            <w:tcW w:w="8613" w:type="dxa"/>
            <w:gridSpan w:val="5"/>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8"/>
                <w:szCs w:val="18"/>
              </w:rPr>
            </w:pPr>
            <w:r>
              <w:rPr>
                <w:sz w:val="18"/>
                <w:szCs w:val="18"/>
              </w:rPr>
            </w:r>
          </w:p>
          <w:p>
            <w:pPr>
              <w:pStyle w:val="Normal"/>
              <w:widowControl w:val="false"/>
              <w:suppressAutoHyphens w:val="true"/>
              <w:spacing w:lineRule="auto" w:line="276" w:before="0" w:after="120"/>
              <w:jc w:val="center"/>
              <w:rPr>
                <w:rFonts w:ascii="Arial" w:hAnsi="Arial"/>
                <w:sz w:val="18"/>
                <w:szCs w:val="18"/>
              </w:rPr>
            </w:pPr>
            <w:r>
              <w:rPr>
                <w:rFonts w:cs="Arial"/>
                <w:b/>
                <w:bCs/>
                <w:color w:val="000000"/>
                <w:sz w:val="18"/>
                <w:szCs w:val="18"/>
              </w:rPr>
              <w:t>VALOR TOTAL</w:t>
            </w:r>
          </w:p>
        </w:tc>
        <w:tc>
          <w:tcPr>
            <w:tcW w:w="1361"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b/>
                <w:b/>
                <w:bCs/>
                <w:sz w:val="18"/>
                <w:szCs w:val="18"/>
              </w:rPr>
            </w:pPr>
            <w:r>
              <w:rPr>
                <w:b/>
                <w:bCs/>
                <w:sz w:val="18"/>
                <w:szCs w:val="18"/>
              </w:rPr>
            </w:r>
          </w:p>
          <w:p>
            <w:pPr>
              <w:pStyle w:val="Normal"/>
              <w:widowControl w:val="false"/>
              <w:suppressAutoHyphens w:val="true"/>
              <w:spacing w:lineRule="auto" w:line="276" w:before="0" w:after="120"/>
              <w:jc w:val="center"/>
              <w:rPr>
                <w:rFonts w:ascii="Arial" w:hAnsi="Arial"/>
                <w:sz w:val="18"/>
                <w:szCs w:val="18"/>
              </w:rPr>
            </w:pPr>
            <w:r>
              <w:rPr>
                <w:rFonts w:cs="Arial"/>
                <w:b/>
                <w:bCs/>
                <w:color w:val="000000"/>
                <w:sz w:val="18"/>
                <w:szCs w:val="18"/>
              </w:rPr>
              <w:t>R$  ________</w:t>
            </w:r>
          </w:p>
        </w:tc>
      </w:tr>
    </w:tbl>
    <w:p>
      <w:pPr>
        <w:pStyle w:val="Normal"/>
        <w:jc w:val="left"/>
        <w:rPr>
          <w:rFonts w:ascii="Arial" w:hAnsi="Arial"/>
        </w:rPr>
      </w:pPr>
      <w:r>
        <w:rPr>
          <w:b/>
          <w:sz w:val="22"/>
        </w:rPr>
        <w:t xml:space="preserve">                                                   </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Valor Total: R$ __________,____</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(Local_____________________ - ____, _________ de ____________ de 20____)</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Nome:</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Cargo:</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widowControl/>
        <w:shd w:val="clear" w:fill="FFFFFF"/>
        <w:spacing w:before="120" w:after="120"/>
        <w:ind w:hanging="0"/>
        <w:jc w:val="center"/>
        <w:rPr/>
      </w:pPr>
      <w:r>
        <w:rPr>
          <w:rFonts w:ascii="Arial-BoldMT" w:hAnsi="Arial-BoldMT"/>
          <w:b/>
        </w:rPr>
        <w:t>ANEXO III – TERMO DE REFERÊNCIA</w:t>
      </w:r>
    </w:p>
    <w:sectPr>
      <w:headerReference w:type="default" r:id="rId5"/>
      <w:footerReference w:type="default" r:id="rId6"/>
      <w:type w:val="nextPage"/>
      <w:pgSz w:w="11906" w:h="16838"/>
      <w:pgMar w:left="1701" w:right="1701" w:gutter="0" w:header="1417" w:top="1930"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MT">
    <w:charset w:val="00"/>
    <w:family w:val="roman"/>
    <w:pitch w:val="variable"/>
  </w:font>
  <w:font w:name="Arial-Bold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color w:val="auto"/>
        <w:sz w:val="18"/>
        <w:szCs w:val="18"/>
      </w:rPr>
    </w:pPr>
    <w:r>
      <w:rPr>
        <w:color w:val="auto"/>
        <w:sz w:val="18"/>
        <w:szCs w:val="18"/>
      </w:rPr>
      <w:t>Aviso de Dispensa Eletrônica – Lei nº 14.133/21 e IN SEGES/ME nº 67/2021</w:t>
    </w:r>
  </w:p>
  <w:p>
    <w:pPr>
      <w:pStyle w:val="Rodap"/>
      <w:rPr>
        <w:rFonts w:ascii="Arial" w:hAnsi="Arial"/>
        <w:color w:val="auto"/>
        <w:sz w:val="18"/>
        <w:szCs w:val="18"/>
      </w:rPr>
    </w:pPr>
    <w:r>
      <w:rPr>
        <w:color w:val="auto"/>
        <w:sz w:val="18"/>
        <w:szCs w:val="18"/>
      </w:rPr>
      <w:t xml:space="preserve">Processo: </w:t>
    </w:r>
    <w:r>
      <w:rPr>
        <w:b w:val="false"/>
        <w:i w:val="false"/>
        <w:caps w:val="false"/>
        <w:smallCaps w:val="false"/>
        <w:color w:val="auto"/>
        <w:spacing w:val="0"/>
        <w:sz w:val="18"/>
        <w:szCs w:val="18"/>
      </w:rPr>
      <w:t>23544.002003/2025-01</w:t>
    </w:r>
    <w:r>
      <w:rPr>
        <w:color w:val="auto"/>
        <w:sz w:val="18"/>
        <w:szCs w:val="18"/>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15">
          <wp:simplePos x="0" y="0"/>
          <wp:positionH relativeFrom="column">
            <wp:posOffset>652780</wp:posOffset>
          </wp:positionH>
          <wp:positionV relativeFrom="paragraph">
            <wp:posOffset>-512445</wp:posOffset>
          </wp:positionV>
          <wp:extent cx="4222750" cy="152590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4222750" cy="152590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Fonts w:ascii="Arial" w:hAnsi="Arial"/>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2">
    <w:name w:val="Heading 2"/>
    <w:basedOn w:val="Normal"/>
    <w:qFormat/>
    <w:pPr>
      <w:ind w:left="154" w:right="0" w:hanging="0"/>
      <w:outlineLvl w:val="2"/>
    </w:pPr>
    <w:rPr>
      <w:rFonts w:ascii="Times New Roman" w:hAnsi="Times New Roman" w:eastAsia="Times New Roman" w:cs="Times New Roman"/>
      <w:b/>
      <w:bCs/>
      <w:sz w:val="21"/>
      <w:szCs w:val="21"/>
      <w:lang w:val="pt-PT" w:eastAsia="en-US" w:bidi="ar-SA"/>
    </w:rPr>
  </w:style>
  <w:style w:type="paragraph" w:styleId="Ttulo3">
    <w:name w:val="Heading 3"/>
    <w:basedOn w:val="Normal"/>
    <w:qFormat/>
    <w:pPr>
      <w:ind w:left="154" w:right="0" w:hanging="0"/>
      <w:outlineLvl w:val="3"/>
    </w:pPr>
    <w:rPr>
      <w:rFonts w:ascii="Times New Roman" w:hAnsi="Times New Roman" w:eastAsia="Times New Roman" w:cs="Times New Roman"/>
      <w:b/>
      <w:bCs/>
      <w:sz w:val="18"/>
      <w:szCs w:val="18"/>
      <w:lang w:val="pt-PT" w:eastAsia="en-US" w:bidi="ar-SA"/>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Hyperlink"/>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trong">
    <w:name w:val="Strong"/>
    <w:basedOn w:val="DefaultParagraphFont"/>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paragraph" w:styleId="Ttulododocumento">
    <w:name w:val="Title"/>
    <w:basedOn w:val="Normal"/>
    <w:qFormat/>
    <w:pPr>
      <w:spacing w:before="85" w:after="0"/>
      <w:ind w:left="2678" w:right="2659" w:hanging="0"/>
      <w:jc w:val="center"/>
    </w:pPr>
    <w:rPr>
      <w:rFonts w:ascii="Times New Roman" w:hAnsi="Times New Roman" w:eastAsia="Times New Roman" w:cs="Times New Roman"/>
      <w:b/>
      <w:bCs/>
      <w:sz w:val="36"/>
      <w:szCs w:val="36"/>
      <w:lang w:val="pt-PT" w:eastAsia="en-US" w:bidi="ar-SA"/>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paragraph" w:styleId="Linhahorizontal">
    <w:name w:val="Linha horizontal"/>
    <w:basedOn w:val="Normal"/>
    <w:next w:val="Corpodotexto"/>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Application>LibreOffice/7.4.2.3$Windows_X86_64 LibreOffice_project/382eef1f22670f7f4118c8c2dd222ec7ad009daf</Application>
  <AppVersion>15.0000</AppVersion>
  <Pages>14</Pages>
  <Words>4875</Words>
  <Characters>27949</Characters>
  <CharactersWithSpaces>32641</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2026-07-16T13:49:26Z</cp:lastPrinted>
  <dcterms:modified xsi:type="dcterms:W3CDTF">2026-07-16T13:50:54Z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file>